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A9F" w:rsidRDefault="00744D1B" w:rsidP="00856A4D">
      <w:pPr>
        <w:spacing w:after="0"/>
        <w:jc w:val="center"/>
        <w:rPr>
          <w:rFonts w:eastAsia="Times New Roman"/>
          <w:b/>
          <w:color w:val="000000"/>
          <w:sz w:val="28"/>
          <w:szCs w:val="28"/>
        </w:rPr>
      </w:pPr>
      <w:r w:rsidRPr="00744D1B">
        <w:rPr>
          <w:rFonts w:eastAsia="Times New Roman"/>
          <w:b/>
          <w:color w:val="000000"/>
          <w:sz w:val="28"/>
          <w:szCs w:val="28"/>
        </w:rPr>
        <w:t>DEĞER KAYBI EKSPERTİZ RAPORLARINDA AÇIKLAMA, NOT VE HUKUKİ DEĞERLENDİRMELERE İLİŞKİN UYGULAMA ESASLARI HAKKINDA SİGORTA EKSPERLERİ İCRA KOMİTESİ DUYURUSU</w:t>
      </w:r>
    </w:p>
    <w:p w:rsidR="006A2A9F" w:rsidRDefault="00427F53" w:rsidP="00856A4D">
      <w:pPr>
        <w:spacing w:after="0"/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(2026/7</w:t>
      </w:r>
      <w:r w:rsidR="006A2A9F">
        <w:rPr>
          <w:rFonts w:eastAsia="Times New Roman"/>
          <w:b/>
          <w:color w:val="000000"/>
          <w:sz w:val="28"/>
          <w:szCs w:val="28"/>
        </w:rPr>
        <w:t>)</w:t>
      </w:r>
    </w:p>
    <w:p w:rsidR="006A2A9F" w:rsidRDefault="006A2A9F" w:rsidP="00694C50">
      <w:pPr>
        <w:pStyle w:val="NormalWeb"/>
        <w:spacing w:before="0" w:beforeAutospacing="0" w:after="180" w:afterAutospacing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694C50" w:rsidRDefault="00694C50" w:rsidP="006A2A9F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4C50">
        <w:rPr>
          <w:rFonts w:ascii="Times New Roman" w:hAnsi="Times New Roman" w:cs="Times New Roman"/>
          <w:b/>
          <w:bCs/>
          <w:sz w:val="24"/>
          <w:szCs w:val="24"/>
        </w:rPr>
        <w:t>Konu: Değer Kaybı Ekspertiz Raporlarında Açıklama, Not ve Hukuki Değerlendirmelere İlişkin Uygulama Esasları</w:t>
      </w:r>
    </w:p>
    <w:p w:rsidR="006A2A9F" w:rsidRPr="00694C50" w:rsidRDefault="006A2A9F" w:rsidP="006A2A9F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Değerli Meslektaşlarımız,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Değer kaybı ekspertiz raporlarının incelenmesi sırasında, bazı raporlarda Değer Kaybı Rapor Genelgesinde öngörülen rapor formatı ve açıklamaların dışında; genel şart hükümlerine, mevzuatın uygulanmasına veya hukuki nitelendirmelere ilişkin eksper değerlendirmelerine yer verildiği görülmektedir.</w:t>
      </w:r>
    </w:p>
    <w:p w:rsid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Uygulama birliğinin sağlanması ve ekspertiz raporlarının teknik tespit sınırları içerisinde düzenlenmesi amacıyla aşağıdaki hususlara dikkat edilmesi gerekmektedir.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</w:p>
    <w:p w:rsidR="00694C50" w:rsidRPr="00694C50" w:rsidRDefault="00694C50" w:rsidP="00694C50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b/>
          <w:bCs/>
          <w:sz w:val="24"/>
          <w:szCs w:val="24"/>
        </w:rPr>
        <w:t>1. DEĞER KAYBI RAPOR GENELGESİNDE YER ALAN NOT VE AÇIKLAMALAR EKSİKSİZ OLARAK RAPORA YANSITILMALIDIR.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 xml:space="preserve">Değer kaybı ekspertiz raporlarında, ilgili Genelge ile belirlenen rapor formatında yer alan </w:t>
      </w:r>
      <w:r w:rsidRPr="00694C50">
        <w:rPr>
          <w:rFonts w:ascii="Times New Roman" w:hAnsi="Times New Roman" w:cs="Times New Roman"/>
          <w:i/>
          <w:iCs/>
          <w:sz w:val="24"/>
          <w:szCs w:val="24"/>
        </w:rPr>
        <w:t>zorunlu bilgi, açıklama ve notların tamamına titizlikle yer verilmesi gerekmektedir.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Sigorta şirketinin raporlama ekranında söz konusu alanların veya açıklamaların tamamının bulunmaması, Genelgede öngörülen bilgi ve notların rapora alınmamasına gerekçe oluşturmamalıdır.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b/>
          <w:bCs/>
          <w:sz w:val="24"/>
          <w:szCs w:val="24"/>
        </w:rPr>
        <w:t>Şirket ekranında alan bulunmasa dahi, Genelgede öngörülen açıklama ve notların ekspertiz raporunda eksiksiz şekilde yer alması eksperin sorumluluğundadır.</w:t>
      </w:r>
    </w:p>
    <w:p w:rsid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Genelgede yer alan not ve açıklamaların sigorta şirketlerinin raporlama ekranlarına eksiksiz biçimde yansıtılması konusunda ilgili sigorta şirketleri ve yazılım firmaları ayrıca bilgilendirilmiştir.</w:t>
      </w:r>
    </w:p>
    <w:p w:rsid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Genelgede yer alan notlar dışında </w:t>
      </w:r>
      <w:r w:rsidR="006A2A9F">
        <w:rPr>
          <w:rFonts w:ascii="Times New Roman" w:hAnsi="Times New Roman" w:cs="Times New Roman"/>
          <w:sz w:val="24"/>
          <w:szCs w:val="24"/>
        </w:rPr>
        <w:t>“</w:t>
      </w:r>
      <w:r w:rsidR="006A2A9F" w:rsidRPr="006A2A9F">
        <w:rPr>
          <w:rFonts w:ascii="Times New Roman" w:hAnsi="Times New Roman" w:cs="Times New Roman"/>
          <w:sz w:val="24"/>
          <w:szCs w:val="24"/>
        </w:rPr>
        <w:t xml:space="preserve">Reel Piyasa Analiz Yöntemi Esasıyla Hesaplama Rehberi Uygulama </w:t>
      </w:r>
      <w:proofErr w:type="spellStart"/>
      <w:r w:rsidR="006A2A9F" w:rsidRPr="006A2A9F">
        <w:rPr>
          <w:rFonts w:ascii="Times New Roman" w:hAnsi="Times New Roman" w:cs="Times New Roman"/>
          <w:sz w:val="24"/>
          <w:szCs w:val="24"/>
        </w:rPr>
        <w:t>Esasları</w:t>
      </w:r>
      <w:r w:rsidR="006A2A9F">
        <w:rPr>
          <w:rFonts w:ascii="Times New Roman" w:hAnsi="Times New Roman" w:cs="Times New Roman"/>
          <w:sz w:val="24"/>
          <w:szCs w:val="24"/>
        </w:rPr>
        <w:t>”nda</w:t>
      </w:r>
      <w:proofErr w:type="spellEnd"/>
      <w:r w:rsidR="006A2A9F">
        <w:rPr>
          <w:rFonts w:ascii="Times New Roman" w:hAnsi="Times New Roman" w:cs="Times New Roman"/>
          <w:sz w:val="24"/>
          <w:szCs w:val="24"/>
        </w:rPr>
        <w:t xml:space="preserve"> belirtilen kurallara ilişkin atıflara raporda yer verilebilir. Bunlarında dışında rapora ilave edilebilecek tek husus teknik değerlendirmelerdir. 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b/>
          <w:bCs/>
          <w:sz w:val="24"/>
          <w:szCs w:val="24"/>
        </w:rPr>
        <w:t>2. EKSPERİN RAPORA İLAVE EDECEĞİ AÇIKLAMALAR TEKNİK TESPİT VE DEĞER KAYBI HESABINI ETKİLEYEN SOMUT BULGULARLA SINIRLI OLMALIDIR.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Eksper, Genelgede öngörülen standart açıklamaların dışında, incelemeye konu araca özgü ve değer kaybı değerlendirmesini etkileyen teknik hususları raporunda ayrıca açıklayabilir.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Bu kapsamda özellikle;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i/>
          <w:iCs/>
          <w:sz w:val="24"/>
          <w:szCs w:val="24"/>
        </w:rPr>
        <w:lastRenderedPageBreak/>
        <w:t>• Araçta tespit edilen önceki hasarlar ve onarımlar,</w:t>
      </w:r>
      <w:r w:rsidRPr="00694C50">
        <w:rPr>
          <w:rFonts w:ascii="Times New Roman" w:hAnsi="Times New Roman" w:cs="Times New Roman"/>
          <w:sz w:val="24"/>
          <w:szCs w:val="24"/>
        </w:rPr>
        <w:br/>
      </w:r>
      <w:r w:rsidRPr="00694C50">
        <w:rPr>
          <w:rFonts w:ascii="Times New Roman" w:hAnsi="Times New Roman" w:cs="Times New Roman"/>
          <w:i/>
          <w:iCs/>
          <w:sz w:val="24"/>
          <w:szCs w:val="24"/>
        </w:rPr>
        <w:t xml:space="preserve">• Aracın genel </w:t>
      </w:r>
      <w:proofErr w:type="spellStart"/>
      <w:r w:rsidRPr="00694C50">
        <w:rPr>
          <w:rFonts w:ascii="Times New Roman" w:hAnsi="Times New Roman" w:cs="Times New Roman"/>
          <w:i/>
          <w:iCs/>
          <w:sz w:val="24"/>
          <w:szCs w:val="24"/>
        </w:rPr>
        <w:t>kondüsyonu</w:t>
      </w:r>
      <w:proofErr w:type="spellEnd"/>
      <w:r w:rsidRPr="00694C5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694C50">
        <w:rPr>
          <w:rFonts w:ascii="Times New Roman" w:hAnsi="Times New Roman" w:cs="Times New Roman"/>
          <w:sz w:val="24"/>
          <w:szCs w:val="24"/>
        </w:rPr>
        <w:br/>
      </w:r>
      <w:r w:rsidRPr="00694C50">
        <w:rPr>
          <w:rFonts w:ascii="Times New Roman" w:hAnsi="Times New Roman" w:cs="Times New Roman"/>
          <w:i/>
          <w:iCs/>
          <w:sz w:val="24"/>
          <w:szCs w:val="24"/>
        </w:rPr>
        <w:t>• İncelemeye konu hasarla önceki hasarlar arasındaki teknik ilişki,</w:t>
      </w:r>
      <w:r w:rsidRPr="00694C50">
        <w:rPr>
          <w:rFonts w:ascii="Times New Roman" w:hAnsi="Times New Roman" w:cs="Times New Roman"/>
          <w:sz w:val="24"/>
          <w:szCs w:val="24"/>
        </w:rPr>
        <w:br/>
      </w:r>
      <w:r w:rsidRPr="00694C50">
        <w:rPr>
          <w:rFonts w:ascii="Times New Roman" w:hAnsi="Times New Roman" w:cs="Times New Roman"/>
          <w:i/>
          <w:iCs/>
          <w:sz w:val="24"/>
          <w:szCs w:val="24"/>
        </w:rPr>
        <w:t>• Değer kaybını artıran veya azaltan araca özgü teknik durumlar,</w:t>
      </w:r>
      <w:r w:rsidRPr="00694C50">
        <w:rPr>
          <w:rFonts w:ascii="Times New Roman" w:hAnsi="Times New Roman" w:cs="Times New Roman"/>
          <w:sz w:val="24"/>
          <w:szCs w:val="24"/>
        </w:rPr>
        <w:br/>
      </w:r>
      <w:r w:rsidRPr="00694C50">
        <w:rPr>
          <w:rFonts w:ascii="Times New Roman" w:hAnsi="Times New Roman" w:cs="Times New Roman"/>
          <w:i/>
          <w:iCs/>
          <w:sz w:val="24"/>
          <w:szCs w:val="24"/>
        </w:rPr>
        <w:t>• Değişen, onarılan veya boyanan parçaların niteliğine ilişkin tespitler,</w:t>
      </w:r>
      <w:r w:rsidRPr="00694C50">
        <w:rPr>
          <w:rFonts w:ascii="Times New Roman" w:hAnsi="Times New Roman" w:cs="Times New Roman"/>
          <w:sz w:val="24"/>
          <w:szCs w:val="24"/>
        </w:rPr>
        <w:br/>
      </w:r>
      <w:r w:rsidRPr="00694C50">
        <w:rPr>
          <w:rFonts w:ascii="Times New Roman" w:hAnsi="Times New Roman" w:cs="Times New Roman"/>
          <w:i/>
          <w:iCs/>
          <w:sz w:val="24"/>
          <w:szCs w:val="24"/>
        </w:rPr>
        <w:t>• Piyasa rayiç araştırmasında dikkate alınan araca özgü teknik özellikler,</w:t>
      </w:r>
      <w:r w:rsidRPr="00694C50">
        <w:rPr>
          <w:rFonts w:ascii="Times New Roman" w:hAnsi="Times New Roman" w:cs="Times New Roman"/>
          <w:sz w:val="24"/>
          <w:szCs w:val="24"/>
        </w:rPr>
        <w:br/>
      </w:r>
      <w:r w:rsidRPr="00694C50">
        <w:rPr>
          <w:rFonts w:ascii="Times New Roman" w:hAnsi="Times New Roman" w:cs="Times New Roman"/>
          <w:i/>
          <w:iCs/>
          <w:sz w:val="24"/>
          <w:szCs w:val="24"/>
        </w:rPr>
        <w:t>• Hesaplama sonucunu etkileyen ve eksper tarafından somut olarak tespit edilen diğer teknik hususlar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  <w:proofErr w:type="gramStart"/>
      <w:r w:rsidRPr="00694C50">
        <w:rPr>
          <w:rFonts w:ascii="Times New Roman" w:hAnsi="Times New Roman" w:cs="Times New Roman"/>
          <w:sz w:val="24"/>
          <w:szCs w:val="24"/>
        </w:rPr>
        <w:t>gerekçeleriyle</w:t>
      </w:r>
      <w:proofErr w:type="gramEnd"/>
      <w:r w:rsidRPr="00694C50">
        <w:rPr>
          <w:rFonts w:ascii="Times New Roman" w:hAnsi="Times New Roman" w:cs="Times New Roman"/>
          <w:sz w:val="24"/>
          <w:szCs w:val="24"/>
        </w:rPr>
        <w:t xml:space="preserve"> birlikte raporda belirtilebilir.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i/>
          <w:iCs/>
          <w:sz w:val="24"/>
          <w:szCs w:val="24"/>
        </w:rPr>
        <w:t>Bu açıklamalar, eksperin kendi teknik incelemesine ve dosyada doğrulanabilir somut verilere dayanmalıdır.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b/>
          <w:bCs/>
          <w:sz w:val="24"/>
          <w:szCs w:val="24"/>
        </w:rPr>
        <w:t>3. RAPORLARDA GEREKSİZ HUKUKİ GÖRÜŞ VE NİTELENDİRMELERE YER VERİLMEMELİDİR.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Ekspertiz raporunun amacı, eksperin uzmanlık alanındaki teknik tespitlerini, değer kaybı hesabını ve bu hesabın dayanaklarını ortaya koymaktır.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Bu nedenle, Değer Kaybı Rapor Genelgesinde öngörülen standart açıklamalar dışında;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4C50">
        <w:rPr>
          <w:rFonts w:ascii="Times New Roman" w:hAnsi="Times New Roman" w:cs="Times New Roman"/>
          <w:sz w:val="24"/>
          <w:szCs w:val="24"/>
        </w:rPr>
        <w:t>Genel şartların hukuken uygulanıp uygulanamayacağı,</w:t>
      </w:r>
      <w:r w:rsidRPr="00694C50">
        <w:rPr>
          <w:rFonts w:ascii="Times New Roman" w:hAnsi="Times New Roman" w:cs="Times New Roman"/>
          <w:sz w:val="24"/>
          <w:szCs w:val="24"/>
        </w:rPr>
        <w:br/>
        <w:t>• Bir düzenlemenin başka bir hukuk normu karşısındaki geçerliliği,</w:t>
      </w:r>
      <w:r w:rsidRPr="00694C50">
        <w:rPr>
          <w:rFonts w:ascii="Times New Roman" w:hAnsi="Times New Roman" w:cs="Times New Roman"/>
          <w:sz w:val="24"/>
          <w:szCs w:val="24"/>
        </w:rPr>
        <w:br/>
        <w:t>• Yargı mercilerinin hangi hukuki değerlendirmeyi yapması gerektiği,</w:t>
      </w:r>
      <w:r w:rsidRPr="00694C50">
        <w:rPr>
          <w:rFonts w:ascii="Times New Roman" w:hAnsi="Times New Roman" w:cs="Times New Roman"/>
          <w:sz w:val="24"/>
          <w:szCs w:val="24"/>
        </w:rPr>
        <w:br/>
        <w:t>• Tazminat talebinin hukuken kabul veya reddedilmesi gerektiği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94C50">
        <w:rPr>
          <w:rFonts w:ascii="Times New Roman" w:hAnsi="Times New Roman" w:cs="Times New Roman"/>
          <w:sz w:val="24"/>
          <w:szCs w:val="24"/>
        </w:rPr>
        <w:t>gibi</w:t>
      </w:r>
      <w:proofErr w:type="gramEnd"/>
      <w:r w:rsidRPr="00694C50">
        <w:rPr>
          <w:rFonts w:ascii="Times New Roman" w:hAnsi="Times New Roman" w:cs="Times New Roman"/>
          <w:sz w:val="24"/>
          <w:szCs w:val="24"/>
        </w:rPr>
        <w:t xml:space="preserve"> eksperin teknik tespit görevinin dışında kalan hukuki değerlendirme ve yorumlara raporda yer verilmemelidir.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Mevzuatın raporda bulunmasını öngördüğü açıklama ve atıflar ise aynen ve eksiksiz olarak kullanılmalıdır.</w:t>
      </w:r>
    </w:p>
    <w:p w:rsidR="00694C50" w:rsidRDefault="00427F53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Dolayısıyla amaç, </w:t>
      </w:r>
      <w:r w:rsidR="00694C50" w:rsidRPr="00694C50">
        <w:rPr>
          <w:rFonts w:ascii="Times New Roman" w:hAnsi="Times New Roman" w:cs="Times New Roman"/>
          <w:sz w:val="24"/>
          <w:szCs w:val="24"/>
        </w:rPr>
        <w:t xml:space="preserve">raporlardan mevzuat dayanaklarını çıkarmak değil; Genelgede öngörülmeyen kişisel hukuki yorumların teknik </w:t>
      </w:r>
      <w:proofErr w:type="gramStart"/>
      <w:r w:rsidR="00694C50" w:rsidRPr="00694C50">
        <w:rPr>
          <w:rFonts w:ascii="Times New Roman" w:hAnsi="Times New Roman" w:cs="Times New Roman"/>
          <w:sz w:val="24"/>
          <w:szCs w:val="24"/>
        </w:rPr>
        <w:t>ekspertiz</w:t>
      </w:r>
      <w:proofErr w:type="gramEnd"/>
      <w:r w:rsidR="00694C50" w:rsidRPr="00694C50">
        <w:rPr>
          <w:rFonts w:ascii="Times New Roman" w:hAnsi="Times New Roman" w:cs="Times New Roman"/>
          <w:sz w:val="24"/>
          <w:szCs w:val="24"/>
        </w:rPr>
        <w:t xml:space="preserve"> raporuna ilave edilmemesidir.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b/>
          <w:bCs/>
          <w:sz w:val="24"/>
          <w:szCs w:val="24"/>
        </w:rPr>
        <w:t>4. TEKNİK KANAAT İLE HUKUKİ KANAAT BİRBİRİNDEN AYRILMALIDIR.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Eksper;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“Arka tampon plastik olduğundan yapılan işlem piyasa değerini teknik olarak etkilememiştir.”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94C50">
        <w:rPr>
          <w:rFonts w:ascii="Times New Roman" w:hAnsi="Times New Roman" w:cs="Times New Roman"/>
          <w:sz w:val="24"/>
          <w:szCs w:val="24"/>
        </w:rPr>
        <w:t>veya</w:t>
      </w:r>
      <w:proofErr w:type="gramEnd"/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“Önceki hasar kaydı ve mevcut onarım birlikte değerlendirildiğinde, söz konusu parçanın ikinci el piyasa değerine etkisi hesaplamada dikkate alınmıştır.”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  <w:proofErr w:type="gramStart"/>
      <w:r w:rsidRPr="00694C50">
        <w:rPr>
          <w:rFonts w:ascii="Times New Roman" w:hAnsi="Times New Roman" w:cs="Times New Roman"/>
          <w:sz w:val="24"/>
          <w:szCs w:val="24"/>
        </w:rPr>
        <w:t>şeklinde</w:t>
      </w:r>
      <w:proofErr w:type="gramEnd"/>
      <w:r w:rsidRPr="00694C50">
        <w:rPr>
          <w:rFonts w:ascii="Times New Roman" w:hAnsi="Times New Roman" w:cs="Times New Roman"/>
          <w:sz w:val="24"/>
          <w:szCs w:val="24"/>
        </w:rPr>
        <w:t xml:space="preserve"> teknik tespit ve gerekçesini açıklayabilir.</w:t>
      </w:r>
    </w:p>
    <w:p w:rsid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Buna karşılık, teknik tespitin ötesine geçerek bir mevzuat hükmünün hukuki geçerliliği, uygulanabilirliği veya uyuşmazlığın hukuki sonucu hakkında ayrıca görüş oluşturulmamalıdır.</w:t>
      </w:r>
    </w:p>
    <w:p w:rsidR="00730335" w:rsidRDefault="00730335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694C50" w:rsidRPr="00694C50" w:rsidRDefault="00694C50" w:rsidP="00694C50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</w:p>
    <w:p w:rsidR="00694C50" w:rsidRPr="00694C50" w:rsidRDefault="00694C50" w:rsidP="00694C50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b/>
          <w:bCs/>
          <w:sz w:val="24"/>
          <w:szCs w:val="24"/>
        </w:rPr>
        <w:lastRenderedPageBreak/>
        <w:t>5. RAPORUN GEREKÇELİ OLMASI ESASTIR</w:t>
      </w:r>
      <w:r w:rsidRPr="00694C50">
        <w:rPr>
          <w:rFonts w:ascii="Times New Roman" w:hAnsi="Times New Roman" w:cs="Times New Roman"/>
          <w:sz w:val="24"/>
          <w:szCs w:val="24"/>
        </w:rPr>
        <w:t>.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Bu duyuru, raporların yalnızca rakamsal hesaplamadan ibaret düzenlenmesi gerektiği anlamına gelmemektedir.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Aksine, değer kaybı tutarının hangi teknik veriler ve tespitler sonucunda belirlendiğinin rapordan anlaşılabilmesi gerekmektedir.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Eksperin kanaati gerekçeli olmalı; ancak gerekçe teknik uzmanlık alanı içerisinde kalmalıdır.</w:t>
      </w:r>
    </w:p>
    <w:p w:rsid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 xml:space="preserve">Bu nedenle rayiç değer tespiti, kilometre, kullanım şekli, önceki hasarlar, onarımın niteliği, değişen veya onarılan parçalar, aracın genel </w:t>
      </w:r>
      <w:proofErr w:type="spellStart"/>
      <w:r w:rsidRPr="00694C50">
        <w:rPr>
          <w:rFonts w:ascii="Times New Roman" w:hAnsi="Times New Roman" w:cs="Times New Roman"/>
          <w:sz w:val="24"/>
          <w:szCs w:val="24"/>
        </w:rPr>
        <w:t>kondüsyonu</w:t>
      </w:r>
      <w:proofErr w:type="spellEnd"/>
      <w:r w:rsidRPr="00694C50">
        <w:rPr>
          <w:rFonts w:ascii="Times New Roman" w:hAnsi="Times New Roman" w:cs="Times New Roman"/>
          <w:sz w:val="24"/>
          <w:szCs w:val="24"/>
        </w:rPr>
        <w:t xml:space="preserve"> ve değer kaybını somut olarak etkileyen diğer hususlar gerektiğinde açıkça belirtilmelidir.</w:t>
      </w:r>
    </w:p>
    <w:p w:rsidR="00694C50" w:rsidRPr="00694C50" w:rsidRDefault="00694C50" w:rsidP="00694C50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6A2A9F" w:rsidRPr="006A2A9F" w:rsidRDefault="006A2A9F" w:rsidP="006A2A9F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A2A9F">
        <w:rPr>
          <w:rFonts w:ascii="Times New Roman" w:hAnsi="Times New Roman" w:cs="Times New Roman"/>
          <w:sz w:val="24"/>
          <w:szCs w:val="24"/>
        </w:rPr>
        <w:t>Bu itibarla;</w:t>
      </w:r>
    </w:p>
    <w:p w:rsidR="00694C50" w:rsidRPr="00694C50" w:rsidRDefault="00694C50" w:rsidP="006A2A9F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• Değer Kaybı Rapor Genelgesinde öngörülen tüm bilgi, not ve açıklamalar eksiksiz şekilde rapora alınmalıdır.</w:t>
      </w:r>
    </w:p>
    <w:p w:rsidR="00694C50" w:rsidRPr="00694C50" w:rsidRDefault="00694C50" w:rsidP="006A2A9F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• Sigorta şirketi ekranında ilgili alanın bulunmaması, Genelgede öngörülen açıklamanın rapordan çıkarılmasına gerekçe değildir.</w:t>
      </w:r>
    </w:p>
    <w:p w:rsidR="00694C50" w:rsidRPr="00694C50" w:rsidRDefault="00694C50" w:rsidP="006A2A9F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 xml:space="preserve">• Eksper, araca özgü eski hasar, genel </w:t>
      </w:r>
      <w:proofErr w:type="spellStart"/>
      <w:r w:rsidRPr="00694C50">
        <w:rPr>
          <w:rFonts w:ascii="Times New Roman" w:hAnsi="Times New Roman" w:cs="Times New Roman"/>
          <w:sz w:val="24"/>
          <w:szCs w:val="24"/>
        </w:rPr>
        <w:t>kondüsyon</w:t>
      </w:r>
      <w:proofErr w:type="spellEnd"/>
      <w:r w:rsidRPr="00694C50">
        <w:rPr>
          <w:rFonts w:ascii="Times New Roman" w:hAnsi="Times New Roman" w:cs="Times New Roman"/>
          <w:sz w:val="24"/>
          <w:szCs w:val="24"/>
        </w:rPr>
        <w:t xml:space="preserve"> ve değer kaybını artıran veya azaltan teknik bulgularını gerekçeleriyle rapora eklemelidir.</w:t>
      </w:r>
    </w:p>
    <w:p w:rsidR="00694C50" w:rsidRPr="00694C50" w:rsidRDefault="00694C50" w:rsidP="006A2A9F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• Genelgede öngörülen standart mevzuat açıklamaları dışında, eksperin görev alanını aşan kişisel hukuki yorum ve değerlendirmeler rapora eklenmemelidir.</w:t>
      </w:r>
    </w:p>
    <w:p w:rsidR="00694C50" w:rsidRPr="00694C50" w:rsidRDefault="00694C50" w:rsidP="006A2A9F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• Raporda yapılan her ilave değerlendirme, mümkün olduğunca somut teknik tespit ve belgeye dayanmalıdır.</w:t>
      </w:r>
    </w:p>
    <w:p w:rsidR="00694C50" w:rsidRPr="00694C50" w:rsidRDefault="00694C50" w:rsidP="006A2A9F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• Değer kaybı tutarının hangi gerekçeyle belirlendiği rapordan açıkça anlaşılmalıdır.</w:t>
      </w:r>
    </w:p>
    <w:p w:rsidR="00694C50" w:rsidRPr="00694C50" w:rsidRDefault="00694C50" w:rsidP="006A2A9F">
      <w:pPr>
        <w:pStyle w:val="NormalWeb"/>
        <w:spacing w:before="0" w:beforeAutospacing="0" w:after="18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Değer kaybı ekspertiz raporlarının ülke genelinde aynı esaslar çerçevesinde, teknik yönden gerekçeli ve ilgili Genelge ile belirlenen rapor formatına uygun olarak düzenlenmesi konusunda tüm meslektaşlarımızın gerekli hassasiyeti göstermeleri gerekmektedir.</w:t>
      </w:r>
    </w:p>
    <w:p w:rsidR="00694C50" w:rsidRDefault="00694C50" w:rsidP="00694C50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  <w:r w:rsidRPr="00694C50">
        <w:rPr>
          <w:rFonts w:ascii="Times New Roman" w:hAnsi="Times New Roman" w:cs="Times New Roman"/>
          <w:sz w:val="24"/>
          <w:szCs w:val="24"/>
        </w:rPr>
        <w:t>Bilgilerinizi ve gereğini rica ederiz.</w:t>
      </w:r>
    </w:p>
    <w:p w:rsidR="006A2A9F" w:rsidRDefault="006A2A9F" w:rsidP="00694C50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Saygılarımızla,</w:t>
      </w:r>
    </w:p>
    <w:p w:rsidR="006A2A9F" w:rsidRPr="00694C50" w:rsidRDefault="006A2A9F" w:rsidP="00694C50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</w:p>
    <w:p w:rsidR="00694C50" w:rsidRPr="006A2A9F" w:rsidRDefault="006A2A9F" w:rsidP="00694C50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  <w:r w:rsidRPr="006A2A9F">
        <w:rPr>
          <w:rFonts w:ascii="Times New Roman" w:hAnsi="Times New Roman" w:cs="Times New Roman"/>
          <w:bCs/>
          <w:sz w:val="24"/>
          <w:szCs w:val="24"/>
        </w:rPr>
        <w:t xml:space="preserve">TOBB </w:t>
      </w:r>
      <w:r w:rsidR="00694C50" w:rsidRPr="006A2A9F">
        <w:rPr>
          <w:rFonts w:ascii="Times New Roman" w:hAnsi="Times New Roman" w:cs="Times New Roman"/>
          <w:bCs/>
          <w:sz w:val="24"/>
          <w:szCs w:val="24"/>
        </w:rPr>
        <w:t>Sigorta Eksperleri İcra Komitesi</w:t>
      </w:r>
    </w:p>
    <w:p w:rsidR="00CC667D" w:rsidRPr="00694C50" w:rsidRDefault="00CC667D">
      <w:pPr>
        <w:rPr>
          <w:rFonts w:ascii="Times New Roman" w:hAnsi="Times New Roman" w:cs="Times New Roman"/>
          <w:sz w:val="24"/>
          <w:szCs w:val="24"/>
        </w:rPr>
      </w:pPr>
    </w:p>
    <w:sectPr w:rsidR="00CC667D" w:rsidRPr="00694C5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4D2" w:rsidRDefault="00EA04D2" w:rsidP="00730335">
      <w:pPr>
        <w:spacing w:after="0" w:line="240" w:lineRule="auto"/>
      </w:pPr>
      <w:r>
        <w:separator/>
      </w:r>
    </w:p>
  </w:endnote>
  <w:endnote w:type="continuationSeparator" w:id="0">
    <w:p w:rsidR="00EA04D2" w:rsidRDefault="00EA04D2" w:rsidP="00730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8374953"/>
      <w:docPartObj>
        <w:docPartGallery w:val="Page Numbers (Bottom of Page)"/>
        <w:docPartUnique/>
      </w:docPartObj>
    </w:sdtPr>
    <w:sdtEndPr/>
    <w:sdtContent>
      <w:p w:rsidR="00730335" w:rsidRDefault="0073033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D1B">
          <w:rPr>
            <w:noProof/>
          </w:rPr>
          <w:t>3</w:t>
        </w:r>
        <w:r>
          <w:fldChar w:fldCharType="end"/>
        </w:r>
      </w:p>
    </w:sdtContent>
  </w:sdt>
  <w:p w:rsidR="00730335" w:rsidRDefault="0073033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4D2" w:rsidRDefault="00EA04D2" w:rsidP="00730335">
      <w:pPr>
        <w:spacing w:after="0" w:line="240" w:lineRule="auto"/>
      </w:pPr>
      <w:r>
        <w:separator/>
      </w:r>
    </w:p>
  </w:footnote>
  <w:footnote w:type="continuationSeparator" w:id="0">
    <w:p w:rsidR="00EA04D2" w:rsidRDefault="00EA04D2" w:rsidP="007303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C50"/>
    <w:rsid w:val="000E0A0D"/>
    <w:rsid w:val="00427F53"/>
    <w:rsid w:val="00694C50"/>
    <w:rsid w:val="006A2A9F"/>
    <w:rsid w:val="00730335"/>
    <w:rsid w:val="00744D1B"/>
    <w:rsid w:val="00856A4D"/>
    <w:rsid w:val="00CC667D"/>
    <w:rsid w:val="00DF1461"/>
    <w:rsid w:val="00EA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CD533"/>
  <w15:chartTrackingRefBased/>
  <w15:docId w15:val="{7487206D-308E-4FC3-A68B-DD3F3137C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94C50"/>
    <w:pPr>
      <w:spacing w:before="100" w:beforeAutospacing="1" w:after="100" w:afterAutospacing="1" w:line="240" w:lineRule="auto"/>
    </w:pPr>
    <w:rPr>
      <w:rFonts w:ascii="Calibri" w:hAnsi="Calibri" w:cs="Calibri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30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30335"/>
  </w:style>
  <w:style w:type="paragraph" w:styleId="AltBilgi">
    <w:name w:val="footer"/>
    <w:basedOn w:val="Normal"/>
    <w:link w:val="AltBilgiChar"/>
    <w:uiPriority w:val="99"/>
    <w:unhideWhenUsed/>
    <w:rsid w:val="00730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30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TOBB</Company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MEVLÜT SÖYLEMEZ</dc:creator>
  <cp:keywords/>
  <dc:description/>
  <cp:lastModifiedBy>KENAN SARI</cp:lastModifiedBy>
  <cp:revision>6</cp:revision>
  <dcterms:created xsi:type="dcterms:W3CDTF">2026-09-02T12:55:00Z</dcterms:created>
  <dcterms:modified xsi:type="dcterms:W3CDTF">2026-10-06T08:12:00Z</dcterms:modified>
</cp:coreProperties>
</file>